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专项整治情况汇总表</w:t>
      </w:r>
    </w:p>
    <w:p>
      <w:pPr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填报单位：                                               截止日期：  年   月  日</w:t>
      </w:r>
    </w:p>
    <w:tbl>
      <w:tblPr>
        <w:tblStyle w:val="4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检查评价机构数量（家次）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检查发现一般违法行为数量（项）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下达执法文书（份）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行政处罚（次）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罚款（万元）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责令停业整顿（家次）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吊销评价机构资质证书（个）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纳入“黑名单”（家）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对采信虚假报告的行政许可依法处理数量（家次）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媒体曝光（家次）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填报人：                   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C4865"/>
    <w:rsid w:val="5BB03E53"/>
    <w:rsid w:val="5E3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2021-05-28T09:06:00Z</dcterms:created>
  <dc:creator>人書俱老</dc:creator>
  <cp:lastModifiedBy>lenovo</cp:lastModifiedBy>
  <cp:lastPrinted>2021-05-31T07:10:50Z</cp:lastPrinted>
  <dcterms:modified xsi:type="dcterms:W3CDTF">2021-05-31T07:11:30Z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